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tbl>
      <w:tblPr>
        <w:tblpPr w:leftFromText="180" w:rightFromText="180" w:vertAnchor="page" w:horzAnchor="margin" w:tblpX="391" w:tblpY="1016"/>
        <w:tblW w:w="92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641"/>
        <w:gridCol w:w="4961"/>
      </w:tblGrid>
      <w:tr w:rsidRPr="00FF2F29" w:rsidR="006174A3" w:rsidTr="3D8D0EEC" w14:paraId="471A4E73" w14:textId="77777777">
        <w:trPr>
          <w:trHeight w:val="705"/>
        </w:trPr>
        <w:tc>
          <w:tcPr>
            <w:tcW w:w="9262" w:type="dxa"/>
            <w:gridSpan w:val="3"/>
            <w:tcMar/>
          </w:tcPr>
          <w:p w:rsidRPr="00FF2F29" w:rsidR="006174A3" w:rsidP="00EA4E82" w:rsidRDefault="006174A3" w14:paraId="009AA0DF" w14:textId="660DE875">
            <w:pPr>
              <w:tabs>
                <w:tab w:val="left" w:pos="709"/>
              </w:tabs>
              <w:spacing w:after="0" w:line="240" w:lineRule="auto"/>
              <w:ind w:left="426" w:right="452"/>
              <w:rPr>
                <w:b/>
                <w:sz w:val="36"/>
                <w:szCs w:val="36"/>
              </w:rPr>
            </w:pPr>
            <w:r w:rsidRPr="00FF2F29">
              <w:rPr>
                <w:b/>
                <w:sz w:val="36"/>
                <w:szCs w:val="36"/>
              </w:rPr>
              <w:t>Toronto Humane Society</w:t>
            </w:r>
            <w:r w:rsidR="00AA23EE">
              <w:rPr>
                <w:b/>
                <w:sz w:val="36"/>
                <w:szCs w:val="36"/>
              </w:rPr>
              <w:t xml:space="preserve">:  </w:t>
            </w:r>
            <w:r w:rsidR="00021684">
              <w:rPr>
                <w:b/>
                <w:sz w:val="36"/>
                <w:szCs w:val="36"/>
              </w:rPr>
              <w:t>Megestrol Acetate</w:t>
            </w:r>
            <w:r w:rsidR="00AA23EE">
              <w:rPr>
                <w:b/>
                <w:sz w:val="36"/>
                <w:szCs w:val="36"/>
              </w:rPr>
              <w:t xml:space="preserve"> Protocol</w:t>
            </w:r>
          </w:p>
        </w:tc>
      </w:tr>
      <w:tr w:rsidRPr="00FF2F29" w:rsidR="005C3C8F" w:rsidTr="3D8D0EEC" w14:paraId="0BDC16DC" w14:textId="77777777">
        <w:trPr>
          <w:trHeight w:val="355"/>
        </w:trPr>
        <w:tc>
          <w:tcPr>
            <w:tcW w:w="4301" w:type="dxa"/>
            <w:gridSpan w:val="2"/>
            <w:tcMar/>
          </w:tcPr>
          <w:p w:rsidRPr="00FF2F29" w:rsidR="009E7FE6" w:rsidP="00EA4E82" w:rsidRDefault="009E7FE6" w14:paraId="57406E88" w14:textId="24F4CC04">
            <w:pPr>
              <w:tabs>
                <w:tab w:val="left" w:pos="709"/>
              </w:tabs>
              <w:spacing w:after="0" w:line="240" w:lineRule="auto"/>
              <w:ind w:left="426" w:right="452"/>
            </w:pPr>
            <w:r w:rsidRPr="00FF2F29">
              <w:t xml:space="preserve">Approved by: </w:t>
            </w:r>
            <w:r>
              <w:t xml:space="preserve"> </w:t>
            </w:r>
            <w:r w:rsidR="00B346D2">
              <w:t>Karen Ward</w:t>
            </w:r>
          </w:p>
        </w:tc>
        <w:tc>
          <w:tcPr>
            <w:tcW w:w="4961" w:type="dxa"/>
            <w:tcMar/>
          </w:tcPr>
          <w:p w:rsidRPr="00FF2F29" w:rsidR="009E7FE6" w:rsidP="00EA4E82" w:rsidRDefault="009E7FE6" w14:paraId="5DDD3F8E" w14:textId="2CE93411">
            <w:pPr>
              <w:tabs>
                <w:tab w:val="left" w:pos="709"/>
              </w:tabs>
              <w:spacing w:after="0" w:line="240" w:lineRule="auto"/>
              <w:ind w:left="426" w:right="452"/>
            </w:pPr>
            <w:r w:rsidRPr="00FF2F29">
              <w:t xml:space="preserve">Effective date: </w:t>
            </w:r>
            <w:r w:rsidR="00021684">
              <w:t>21 April, 2020</w:t>
            </w:r>
          </w:p>
        </w:tc>
      </w:tr>
      <w:tr w:rsidRPr="00FF2F29" w:rsidR="005C3C8F" w:rsidTr="3D8D0EEC" w14:paraId="621A8B9C" w14:textId="77777777">
        <w:trPr>
          <w:trHeight w:val="355"/>
        </w:trPr>
        <w:tc>
          <w:tcPr>
            <w:tcW w:w="4301" w:type="dxa"/>
            <w:gridSpan w:val="2"/>
            <w:tcMar/>
          </w:tcPr>
          <w:p w:rsidRPr="00FF2F29" w:rsidR="009E7FE6" w:rsidP="00EA4E82" w:rsidRDefault="00FB292E" w14:paraId="1565BB75" w14:textId="33793D0E">
            <w:pPr>
              <w:tabs>
                <w:tab w:val="left" w:pos="709"/>
              </w:tabs>
              <w:spacing w:after="0" w:line="240" w:lineRule="auto"/>
              <w:ind w:left="426" w:right="452"/>
            </w:pPr>
            <w:r>
              <w:t>A</w:t>
            </w:r>
            <w:r w:rsidR="009E7FE6">
              <w:t xml:space="preserve">uthor: </w:t>
            </w:r>
            <w:r w:rsidR="00021684">
              <w:t>Linda Jacobson</w:t>
            </w:r>
          </w:p>
        </w:tc>
        <w:tc>
          <w:tcPr>
            <w:tcW w:w="4961" w:type="dxa"/>
            <w:tcMar/>
          </w:tcPr>
          <w:p w:rsidRPr="00FF2F29" w:rsidR="009E7FE6" w:rsidP="00EA4E82" w:rsidRDefault="009E7FE6" w14:paraId="7AD5408E" w14:textId="6FA9D2BA">
            <w:pPr>
              <w:tabs>
                <w:tab w:val="left" w:pos="709"/>
              </w:tabs>
              <w:spacing w:after="0" w:line="240" w:lineRule="auto"/>
              <w:ind w:left="426" w:right="452"/>
            </w:pPr>
            <w:r w:rsidR="3D8D0EEC">
              <w:rPr/>
              <w:t>Revision Date:  17 Jan 2021 updated (LJ)</w:t>
            </w:r>
          </w:p>
        </w:tc>
      </w:tr>
      <w:tr w:rsidRPr="00FF2F29" w:rsidR="00222605" w:rsidTr="3D8D0EEC" w14:paraId="0B82F8D7" w14:textId="77777777">
        <w:trPr>
          <w:trHeight w:val="355"/>
        </w:trPr>
        <w:tc>
          <w:tcPr>
            <w:tcW w:w="2660" w:type="dxa"/>
            <w:tcMar/>
          </w:tcPr>
          <w:p w:rsidRPr="000A548F" w:rsidR="009E7FE6" w:rsidP="00EA4E82" w:rsidRDefault="009E7FE6" w14:paraId="2F6ABB9C" w14:textId="77777777">
            <w:pPr>
              <w:tabs>
                <w:tab w:val="left" w:pos="709"/>
              </w:tabs>
              <w:spacing w:after="0" w:line="240" w:lineRule="auto"/>
              <w:ind w:left="426" w:right="452"/>
            </w:pPr>
            <w:r w:rsidRPr="000A548F">
              <w:t>Purpose</w:t>
            </w:r>
          </w:p>
        </w:tc>
        <w:tc>
          <w:tcPr>
            <w:tcW w:w="6602" w:type="dxa"/>
            <w:gridSpan w:val="2"/>
            <w:tcMar/>
          </w:tcPr>
          <w:p w:rsidRPr="00F9083B" w:rsidR="009E7FE6" w:rsidP="00EA4E82" w:rsidRDefault="00021684" w14:paraId="630680AB" w14:textId="62E3CBFF">
            <w:pPr>
              <w:tabs>
                <w:tab w:val="left" w:pos="709"/>
              </w:tabs>
              <w:spacing w:after="0" w:line="240" w:lineRule="auto"/>
              <w:ind w:right="452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Provide guidelines for the safe use of MGA in cats</w:t>
            </w:r>
          </w:p>
        </w:tc>
      </w:tr>
      <w:tr w:rsidRPr="00FF2F29" w:rsidR="00222605" w:rsidTr="3D8D0EEC" w14:paraId="1F27BC00" w14:textId="77777777">
        <w:trPr>
          <w:trHeight w:val="355"/>
        </w:trPr>
        <w:tc>
          <w:tcPr>
            <w:tcW w:w="2660" w:type="dxa"/>
            <w:tcMar/>
          </w:tcPr>
          <w:p w:rsidRPr="000A548F" w:rsidR="009E7FE6" w:rsidP="00EA4E82" w:rsidRDefault="009E7FE6" w14:paraId="3A9105FB" w14:textId="183F55CB">
            <w:pPr>
              <w:tabs>
                <w:tab w:val="left" w:pos="709"/>
              </w:tabs>
              <w:spacing w:after="0" w:line="240" w:lineRule="auto"/>
              <w:ind w:left="426" w:right="452"/>
            </w:pPr>
            <w:r w:rsidRPr="000A548F">
              <w:t>Risks</w:t>
            </w:r>
          </w:p>
        </w:tc>
        <w:tc>
          <w:tcPr>
            <w:tcW w:w="6602" w:type="dxa"/>
            <w:gridSpan w:val="2"/>
            <w:tcMar/>
          </w:tcPr>
          <w:p w:rsidRPr="00FF2F29" w:rsidR="009E7FE6" w:rsidP="00EA4E82" w:rsidRDefault="00021684" w14:paraId="3F4D9A5D" w14:textId="421F35CB">
            <w:pPr>
              <w:pStyle w:val="ListParagraph"/>
              <w:tabs>
                <w:tab w:val="left" w:pos="709"/>
              </w:tabs>
              <w:spacing w:after="0" w:line="240" w:lineRule="auto"/>
              <w:ind w:left="0" w:right="452"/>
            </w:pPr>
            <w:r>
              <w:rPr>
                <w:rFonts w:cs="Calibri"/>
                <w:lang w:val="en"/>
              </w:rPr>
              <w:t>Some potentially serious adverse effects, disclosure required</w:t>
            </w:r>
          </w:p>
        </w:tc>
      </w:tr>
      <w:tr w:rsidRPr="00FF2F29" w:rsidR="00222605" w:rsidTr="3D8D0EEC" w14:paraId="73AD76A9" w14:textId="77777777">
        <w:trPr>
          <w:trHeight w:val="355"/>
        </w:trPr>
        <w:tc>
          <w:tcPr>
            <w:tcW w:w="2660" w:type="dxa"/>
            <w:tcMar/>
          </w:tcPr>
          <w:p w:rsidRPr="000A548F" w:rsidR="009E7FE6" w:rsidP="00EA4E82" w:rsidRDefault="00FB292E" w14:paraId="52641A26" w14:textId="50A9CBD4">
            <w:pPr>
              <w:tabs>
                <w:tab w:val="left" w:pos="709"/>
              </w:tabs>
              <w:spacing w:after="0" w:line="240" w:lineRule="auto"/>
              <w:ind w:left="2880" w:right="452" w:hanging="2454"/>
            </w:pPr>
            <w:r w:rsidRPr="000A548F">
              <w:t xml:space="preserve">Main </w:t>
            </w:r>
            <w:r w:rsidRPr="000A548F" w:rsidR="009E7FE6">
              <w:t>Sources</w:t>
            </w:r>
            <w:r w:rsidR="00EC794E">
              <w:t xml:space="preserve"> </w:t>
            </w:r>
          </w:p>
        </w:tc>
        <w:tc>
          <w:tcPr>
            <w:tcW w:w="6602" w:type="dxa"/>
            <w:gridSpan w:val="2"/>
            <w:tcMar/>
          </w:tcPr>
          <w:p w:rsidRPr="00021684" w:rsidR="00021684" w:rsidP="00021684" w:rsidRDefault="00021684" w14:paraId="07E5C1E5" w14:textId="7944895C">
            <w:pPr>
              <w:spacing w:after="0" w:line="240" w:lineRule="auto"/>
              <w:rPr>
                <w:b/>
                <w:bCs/>
              </w:rPr>
            </w:pPr>
            <w:r w:rsidRPr="00021684">
              <w:rPr>
                <w:b/>
                <w:bCs/>
              </w:rPr>
              <w:t>Progestin contraceptives, ACC-D</w:t>
            </w:r>
          </w:p>
          <w:p w:rsidR="00021684" w:rsidP="3D8D0EEC" w:rsidRDefault="00021684" w14:paraId="27588CB4" w14:textId="7AF05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/>
            </w:pPr>
            <w:hyperlink r:id="R0e92875686df4183">
              <w:r w:rsidRPr="3D8D0EEC" w:rsidR="3D8D0EEC">
                <w:rPr>
                  <w:rStyle w:val="Hyperlink"/>
                </w:rPr>
                <w:t>https://acc-d.org/available-products/progestin-contraceptives/covid-19-updates</w:t>
              </w:r>
            </w:hyperlink>
          </w:p>
          <w:p w:rsidR="00021684" w:rsidP="00021684" w:rsidRDefault="00021684" w14:paraId="72017D00" w14:textId="4D876B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452"/>
            </w:pPr>
            <w:r>
              <w:rPr>
                <w:b/>
                <w:bCs/>
              </w:rPr>
              <w:t xml:space="preserve">Maddie’s </w:t>
            </w:r>
            <w:r w:rsidR="001B280B">
              <w:rPr>
                <w:b/>
                <w:bCs/>
              </w:rPr>
              <w:t xml:space="preserve">MGA </w:t>
            </w:r>
            <w:r>
              <w:rPr>
                <w:b/>
                <w:bCs/>
              </w:rPr>
              <w:t>FAQ</w:t>
            </w:r>
            <w:r w:rsidRPr="001B280B" w:rsidR="001B280B">
              <w:t xml:space="preserve"> -  Mike Greenberg</w:t>
            </w:r>
          </w:p>
          <w:p w:rsidR="00021684" w:rsidP="3D8D0EEC" w:rsidRDefault="00021684" w14:paraId="18CFC6F9" w14:textId="10E5B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/>
              <w:rPr>
                <w:b w:val="1"/>
                <w:bCs w:val="1"/>
              </w:rPr>
            </w:pPr>
            <w:hyperlink r:id="R7b3749e01f0c4a42">
              <w:r w:rsidRPr="3D8D0EEC" w:rsidR="3D8D0EEC">
                <w:rPr>
                  <w:rStyle w:val="Hyperlink"/>
                </w:rPr>
                <w:t>https://www.maddiesfund.org/megestrol-acetate-faq.htm?p=245c18ee-b6a3-4881-fa12-1dfaa9bafd6a</w:t>
              </w:r>
            </w:hyperlink>
          </w:p>
          <w:p w:rsidR="00021684" w:rsidP="00021684" w:rsidRDefault="00021684" w14:paraId="73310DED" w14:textId="49CF7873">
            <w:pPr>
              <w:spacing w:after="0" w:line="240" w:lineRule="auto"/>
            </w:pPr>
            <w:r>
              <w:rPr>
                <w:b/>
                <w:bCs/>
              </w:rPr>
              <w:t>Webinar – An emergency contraceptive option for cats during COVID-19 delayed surgery</w:t>
            </w:r>
            <w:r w:rsidRPr="000B328A">
              <w:t>, Joyce Briggs, Michael Greenberg, Julie Levy</w:t>
            </w:r>
            <w:r>
              <w:t xml:space="preserve"> </w:t>
            </w:r>
            <w:r w:rsidR="00D87CDB">
              <w:t xml:space="preserve"> </w:t>
            </w:r>
            <w:hyperlink w:history="1" r:id="rId10">
              <w:r w:rsidR="00D87CDB">
                <w:rPr>
                  <w:rStyle w:val="Hyperlink"/>
                </w:rPr>
                <w:t>https://www.youtube.com/watch?v=jSWUWzgt-WU</w:t>
              </w:r>
            </w:hyperlink>
          </w:p>
          <w:p w:rsidRPr="00222605" w:rsidR="00222605" w:rsidP="001B280B" w:rsidRDefault="00222605" w14:paraId="7166112A" w14:textId="573AD6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452"/>
            </w:pPr>
          </w:p>
        </w:tc>
      </w:tr>
    </w:tbl>
    <w:p w:rsidR="00392699" w:rsidP="3D8D0EEC" w:rsidRDefault="00392699" w14:paraId="689165D2" w14:textId="056B77E4">
      <w:pPr>
        <w:pStyle w:val="CommentText"/>
        <w:tabs>
          <w:tab w:val="left" w:leader="none" w:pos="709"/>
        </w:tabs>
        <w:spacing w:after="0" w:line="240" w:lineRule="auto"/>
        <w:ind w:right="454"/>
      </w:pPr>
    </w:p>
    <w:p w:rsidR="00722C56" w:rsidP="3D8D0EEC" w:rsidRDefault="00722C56" w14:paraId="577A99A3" w14:textId="048F2682">
      <w:pPr>
        <w:pStyle w:val="CommentText"/>
        <w:spacing w:after="0" w:line="240" w:lineRule="auto"/>
        <w:ind w:left="0" w:right="-257" w:firstLine="426"/>
        <w:rPr>
          <w:rFonts w:ascii="Calibri" w:hAnsi="Calibri" w:eastAsia="MS Mincho" w:cs="Cambria" w:asciiTheme="majorAscii" w:hAnsiTheme="majorAscii"/>
          <w:b w:val="1"/>
          <w:bCs w:val="1"/>
          <w:color w:val="3F6CAF"/>
          <w:sz w:val="28"/>
          <w:szCs w:val="28"/>
        </w:rPr>
      </w:pPr>
      <w:r w:rsidRPr="3D8D0EEC" w:rsidR="3D8D0EEC">
        <w:rPr>
          <w:rFonts w:ascii="Calibri" w:hAnsi="Calibri" w:eastAsia="MS Mincho" w:cs="Cambria" w:asciiTheme="majorAscii" w:hAnsiTheme="majorAscii"/>
          <w:b w:val="1"/>
          <w:bCs w:val="1"/>
          <w:color w:val="3F6CAF"/>
          <w:sz w:val="28"/>
          <w:szCs w:val="28"/>
        </w:rPr>
        <w:t>Background</w:t>
      </w:r>
    </w:p>
    <w:p w:rsidRPr="00722C56" w:rsidR="0024124A" w:rsidP="0024124A" w:rsidRDefault="00722C56" w14:paraId="19BF3B68" w14:textId="3C635A2C">
      <w:pPr>
        <w:pStyle w:val="CommentText"/>
        <w:spacing w:after="0" w:line="240" w:lineRule="auto"/>
        <w:ind w:left="426" w:right="452"/>
        <w:rPr>
          <w:sz w:val="22"/>
          <w:szCs w:val="22"/>
        </w:rPr>
      </w:pPr>
      <w:r w:rsidRPr="3D8D0EEC" w:rsidR="3D8D0EEC">
        <w:rPr>
          <w:sz w:val="22"/>
          <w:szCs w:val="22"/>
        </w:rPr>
        <w:t>MGA is a synthetic progestin. It does not replace spay surgery but is a “tool in the toolkit” for preventing unwanted pregnancy in cats when surgery is delayed. This protocol was designed for use during the COVID-19 pandemic but MGA could also be used in carefully selected cases outside of the pandemic response. Use in cats is extra-label. This drug is not recommended as a long-term contraceptive and should only be used as a stop-gap until spay surgery can be performed.</w:t>
      </w:r>
    </w:p>
    <w:p w:rsidR="00722C56" w:rsidP="000509CC" w:rsidRDefault="00722C56" w14:paraId="076EB943" w14:textId="77777777">
      <w:pPr>
        <w:pStyle w:val="CommentText"/>
        <w:spacing w:after="0" w:line="240" w:lineRule="auto"/>
        <w:ind w:left="426" w:right="-257"/>
        <w:rPr>
          <w:rFonts w:eastAsia="MS Mincho" w:cs="Cambria" w:asciiTheme="majorHAnsi" w:hAnsiTheme="majorHAnsi"/>
          <w:b/>
          <w:bCs/>
          <w:color w:val="3F6CAF"/>
          <w:sz w:val="28"/>
          <w:szCs w:val="28"/>
        </w:rPr>
      </w:pPr>
    </w:p>
    <w:p w:rsidR="005C3C8F" w:rsidP="000509CC" w:rsidRDefault="00722C56" w14:paraId="723CB022" w14:textId="471EE61D">
      <w:pPr>
        <w:pStyle w:val="CommentText"/>
        <w:spacing w:after="0" w:line="240" w:lineRule="auto"/>
        <w:ind w:left="426" w:right="-257"/>
        <w:rPr>
          <w:rFonts w:eastAsia="MS Mincho" w:cs="Cambria" w:asciiTheme="majorHAnsi" w:hAnsiTheme="majorHAnsi"/>
          <w:b/>
          <w:bCs/>
          <w:color w:val="3F6CAF"/>
          <w:sz w:val="28"/>
          <w:szCs w:val="28"/>
        </w:rPr>
      </w:pPr>
      <w:r>
        <w:rPr>
          <w:rFonts w:eastAsia="MS Mincho" w:cs="Cambria" w:asciiTheme="majorHAnsi" w:hAnsiTheme="majorHAnsi"/>
          <w:b/>
          <w:bCs/>
          <w:color w:val="3F6CAF"/>
          <w:sz w:val="28"/>
          <w:szCs w:val="28"/>
        </w:rPr>
        <w:t>Indications</w:t>
      </w:r>
    </w:p>
    <w:p w:rsidR="00722C56" w:rsidP="00C06F94" w:rsidRDefault="00722C56" w14:paraId="764519CD" w14:textId="2143DBFE">
      <w:pPr>
        <w:pStyle w:val="CommentText"/>
        <w:spacing w:after="0" w:line="240" w:lineRule="auto"/>
        <w:ind w:left="426" w:right="452"/>
        <w:rPr>
          <w:sz w:val="22"/>
          <w:szCs w:val="22"/>
        </w:rPr>
      </w:pPr>
      <w:r w:rsidRPr="00722C56">
        <w:rPr>
          <w:sz w:val="22"/>
          <w:szCs w:val="22"/>
        </w:rPr>
        <w:t xml:space="preserve">For interim use </w:t>
      </w:r>
      <w:r>
        <w:rPr>
          <w:sz w:val="22"/>
          <w:szCs w:val="22"/>
        </w:rPr>
        <w:t>to suppress heat and prevent pregnancy. For use in:</w:t>
      </w:r>
    </w:p>
    <w:p w:rsidR="00722C56" w:rsidP="00722C56" w:rsidRDefault="00722C56" w14:paraId="31BA132D" w14:textId="02626797">
      <w:pPr>
        <w:pStyle w:val="CommentText"/>
        <w:numPr>
          <w:ilvl w:val="3"/>
          <w:numId w:val="14"/>
        </w:numPr>
        <w:spacing w:after="0" w:line="240" w:lineRule="auto"/>
        <w:ind w:left="851" w:right="452"/>
        <w:rPr>
          <w:sz w:val="22"/>
          <w:szCs w:val="22"/>
        </w:rPr>
      </w:pPr>
      <w:r w:rsidRPr="3D8D0EEC" w:rsidR="3D8D0EEC">
        <w:rPr>
          <w:sz w:val="22"/>
          <w:szCs w:val="22"/>
        </w:rPr>
        <w:t>Homes where a cat is in heat and the behaviour is threatening the integrity of the human-animal bond;</w:t>
      </w:r>
    </w:p>
    <w:p w:rsidR="00722C56" w:rsidP="00722C56" w:rsidRDefault="00722C56" w14:paraId="127C9868" w14:textId="51030A40">
      <w:pPr>
        <w:pStyle w:val="CommentText"/>
        <w:numPr>
          <w:ilvl w:val="3"/>
          <w:numId w:val="14"/>
        </w:numPr>
        <w:spacing w:after="0" w:line="240" w:lineRule="auto"/>
        <w:ind w:left="851" w:right="452"/>
        <w:rPr>
          <w:sz w:val="22"/>
          <w:szCs w:val="22"/>
        </w:rPr>
      </w:pPr>
      <w:r w:rsidRPr="3D8D0EEC" w:rsidR="3D8D0EEC">
        <w:rPr>
          <w:sz w:val="22"/>
          <w:szCs w:val="22"/>
        </w:rPr>
        <w:t>Homes where there is a risk of unwanted pregnancy;</w:t>
      </w:r>
    </w:p>
    <w:p w:rsidR="00722C56" w:rsidP="00722C56" w:rsidRDefault="00722C56" w14:paraId="2F6471F1" w14:textId="3FECCC10">
      <w:pPr>
        <w:pStyle w:val="CommentText"/>
        <w:numPr>
          <w:ilvl w:val="3"/>
          <w:numId w:val="14"/>
        </w:numPr>
        <w:spacing w:after="0" w:line="240" w:lineRule="auto"/>
        <w:ind w:left="851" w:right="452"/>
        <w:rPr>
          <w:sz w:val="22"/>
          <w:szCs w:val="22"/>
        </w:rPr>
      </w:pPr>
      <w:r w:rsidRPr="3D8D0EEC" w:rsidR="3D8D0EEC">
        <w:rPr>
          <w:sz w:val="22"/>
          <w:szCs w:val="22"/>
        </w:rPr>
        <w:t>Colonies pending TNR, where the caregiver is able to get non-pregnant cats to take the medication.</w:t>
      </w:r>
    </w:p>
    <w:p w:rsidR="00722C56" w:rsidP="0083400A" w:rsidRDefault="00722C56" w14:paraId="3FDDF83B" w14:textId="77777777">
      <w:pPr>
        <w:pStyle w:val="CommentText"/>
        <w:spacing w:after="0" w:line="240" w:lineRule="auto"/>
        <w:ind w:left="426" w:right="-257"/>
        <w:rPr>
          <w:rFonts w:eastAsia="MS Mincho" w:cs="Cambria" w:asciiTheme="majorHAnsi" w:hAnsiTheme="majorHAnsi"/>
          <w:b/>
          <w:bCs/>
          <w:color w:val="3F6CAF"/>
          <w:sz w:val="28"/>
          <w:szCs w:val="28"/>
        </w:rPr>
      </w:pPr>
    </w:p>
    <w:p w:rsidR="005C3C8F" w:rsidP="3D8D0EEC" w:rsidRDefault="00722C56" w14:paraId="45A5DB98" w14:textId="5E2D6043">
      <w:pPr>
        <w:pStyle w:val="CommentText"/>
        <w:spacing w:after="0" w:line="240" w:lineRule="auto"/>
        <w:ind w:left="426" w:right="-257"/>
        <w:rPr>
          <w:rFonts w:ascii="Calibri" w:hAnsi="Calibri" w:eastAsia="MS Mincho" w:cs="Cambria" w:asciiTheme="majorAscii" w:hAnsiTheme="majorAscii"/>
          <w:b w:val="1"/>
          <w:bCs w:val="1"/>
          <w:color w:val="3F6CAF"/>
          <w:sz w:val="28"/>
          <w:szCs w:val="28"/>
        </w:rPr>
      </w:pPr>
      <w:r w:rsidRPr="3D8D0EEC" w:rsidR="3D8D0EEC">
        <w:rPr>
          <w:rFonts w:ascii="Calibri" w:hAnsi="Calibri" w:eastAsia="MS Mincho" w:cs="Cambria" w:asciiTheme="majorAscii" w:hAnsiTheme="majorAscii"/>
          <w:b w:val="1"/>
          <w:bCs w:val="1"/>
          <w:color w:val="3F6CAF"/>
          <w:sz w:val="28"/>
          <w:szCs w:val="28"/>
        </w:rPr>
        <w:t>Individual dosing – low-dose MA</w:t>
      </w:r>
    </w:p>
    <w:p w:rsidR="00722C56" w:rsidP="00C06F94" w:rsidRDefault="00722C56" w14:paraId="15F473B2" w14:textId="19B6C4B2">
      <w:pPr>
        <w:pStyle w:val="CommentText"/>
        <w:numPr>
          <w:ilvl w:val="3"/>
          <w:numId w:val="17"/>
        </w:numPr>
        <w:spacing w:after="0" w:line="240" w:lineRule="auto"/>
        <w:ind w:left="851" w:right="452"/>
        <w:rPr>
          <w:sz w:val="22"/>
          <w:szCs w:val="22"/>
        </w:rPr>
      </w:pPr>
      <w:r>
        <w:rPr>
          <w:sz w:val="22"/>
          <w:szCs w:val="22"/>
        </w:rPr>
        <w:t>Compounded liquid 10mg/mL, 6 month half-life</w:t>
      </w:r>
    </w:p>
    <w:p w:rsidR="00C06F94" w:rsidP="00067370" w:rsidRDefault="00C06F94" w14:paraId="13A4AB5F" w14:textId="0437D098">
      <w:pPr>
        <w:pStyle w:val="CommentText"/>
        <w:numPr>
          <w:ilvl w:val="4"/>
          <w:numId w:val="17"/>
        </w:numPr>
        <w:spacing w:after="0" w:line="240" w:lineRule="auto"/>
        <w:ind w:left="1418" w:right="452"/>
        <w:rPr>
          <w:sz w:val="22"/>
          <w:szCs w:val="22"/>
        </w:rPr>
      </w:pPr>
      <w:r>
        <w:rPr>
          <w:sz w:val="22"/>
          <w:szCs w:val="22"/>
        </w:rPr>
        <w:t>Do NOT crush dog tablets (Ovaban), can’t dose safely this way</w:t>
      </w:r>
    </w:p>
    <w:p w:rsidR="00722C56" w:rsidP="00C06F94" w:rsidRDefault="00722C56" w14:paraId="4B5B8789" w14:textId="25161F08">
      <w:pPr>
        <w:pStyle w:val="CommentText"/>
        <w:numPr>
          <w:ilvl w:val="3"/>
          <w:numId w:val="17"/>
        </w:numPr>
        <w:spacing w:after="0" w:line="240" w:lineRule="auto"/>
        <w:ind w:left="851" w:right="452"/>
        <w:rPr>
          <w:sz w:val="22"/>
          <w:szCs w:val="22"/>
        </w:rPr>
      </w:pPr>
      <w:r w:rsidRPr="008B460F">
        <w:rPr>
          <w:b/>
          <w:bCs/>
          <w:sz w:val="22"/>
          <w:szCs w:val="22"/>
        </w:rPr>
        <w:t>Not in heat:</w:t>
      </w:r>
      <w:r>
        <w:rPr>
          <w:sz w:val="22"/>
          <w:szCs w:val="22"/>
        </w:rPr>
        <w:t xml:space="preserve"> 2.5mg per cat, orally/in food once a week, maximum 30 weeks</w:t>
      </w:r>
    </w:p>
    <w:p w:rsidR="00722C56" w:rsidP="00C06F94" w:rsidRDefault="00722C56" w14:paraId="73BEDDAF" w14:textId="282DA2AF">
      <w:pPr>
        <w:pStyle w:val="CommentText"/>
        <w:numPr>
          <w:ilvl w:val="3"/>
          <w:numId w:val="17"/>
        </w:numPr>
        <w:spacing w:after="0" w:line="240" w:lineRule="auto"/>
        <w:ind w:left="851" w:right="452"/>
        <w:rPr>
          <w:sz w:val="22"/>
          <w:szCs w:val="22"/>
        </w:rPr>
      </w:pPr>
      <w:r w:rsidRPr="008B460F">
        <w:rPr>
          <w:b/>
          <w:bCs/>
          <w:sz w:val="22"/>
          <w:szCs w:val="22"/>
        </w:rPr>
        <w:t xml:space="preserve">In heat: </w:t>
      </w:r>
      <w:r>
        <w:rPr>
          <w:sz w:val="22"/>
          <w:szCs w:val="22"/>
        </w:rPr>
        <w:t xml:space="preserve">5mg per cat </w:t>
      </w:r>
      <w:r w:rsidR="008B460F">
        <w:rPr>
          <w:sz w:val="22"/>
          <w:szCs w:val="22"/>
        </w:rPr>
        <w:t xml:space="preserve">once </w:t>
      </w:r>
      <w:r>
        <w:rPr>
          <w:sz w:val="22"/>
          <w:szCs w:val="22"/>
        </w:rPr>
        <w:t>daily x 3d</w:t>
      </w:r>
      <w:r w:rsidR="008B460F">
        <w:rPr>
          <w:sz w:val="22"/>
          <w:szCs w:val="22"/>
        </w:rPr>
        <w:t xml:space="preserve"> then 2.5mg per cat per week</w:t>
      </w:r>
    </w:p>
    <w:p w:rsidR="00722C56" w:rsidP="00C06F94" w:rsidRDefault="00722C56" w14:paraId="147EDB6A" w14:textId="280EF17B">
      <w:pPr>
        <w:pStyle w:val="CommentText"/>
        <w:numPr>
          <w:ilvl w:val="3"/>
          <w:numId w:val="17"/>
        </w:numPr>
        <w:spacing w:after="0" w:line="240" w:lineRule="auto"/>
        <w:ind w:left="851" w:right="452"/>
        <w:rPr>
          <w:sz w:val="22"/>
          <w:szCs w:val="22"/>
        </w:rPr>
      </w:pPr>
      <w:r>
        <w:rPr>
          <w:sz w:val="22"/>
          <w:szCs w:val="22"/>
        </w:rPr>
        <w:t>Dose is approximately 0.625mg/kg, adjust up or down for very small or very large cats</w:t>
      </w:r>
    </w:p>
    <w:p w:rsidR="008B460F" w:rsidP="00C06F94" w:rsidRDefault="008B460F" w14:paraId="6052D572" w14:textId="28C671DF">
      <w:pPr>
        <w:pStyle w:val="CommentText"/>
        <w:numPr>
          <w:ilvl w:val="3"/>
          <w:numId w:val="17"/>
        </w:numPr>
        <w:spacing w:after="0" w:line="240" w:lineRule="auto"/>
        <w:ind w:left="851" w:right="452"/>
        <w:rPr>
          <w:sz w:val="22"/>
          <w:szCs w:val="22"/>
        </w:rPr>
      </w:pPr>
      <w:r>
        <w:rPr>
          <w:sz w:val="22"/>
          <w:szCs w:val="22"/>
        </w:rPr>
        <w:t>Some colony caregivers may be able to dose individually to specific cats; in these situations this dose is preferred</w:t>
      </w:r>
    </w:p>
    <w:p w:rsidR="008B460F" w:rsidP="008B460F" w:rsidRDefault="008B460F" w14:paraId="73887EFE" w14:textId="77777777">
      <w:pPr>
        <w:pStyle w:val="CommentText"/>
        <w:spacing w:after="0" w:line="240" w:lineRule="auto"/>
        <w:ind w:left="2880" w:right="452"/>
        <w:rPr>
          <w:sz w:val="22"/>
          <w:szCs w:val="22"/>
        </w:rPr>
      </w:pPr>
    </w:p>
    <w:p w:rsidR="3D8D0EEC" w:rsidP="3D8D0EEC" w:rsidRDefault="3D8D0EEC" w14:paraId="6A050C4D" w14:textId="1DD64DFD">
      <w:pPr>
        <w:pStyle w:val="CommentText"/>
        <w:bidi w:val="0"/>
        <w:spacing w:before="0" w:beforeAutospacing="off" w:after="0" w:afterAutospacing="off" w:line="240" w:lineRule="auto"/>
        <w:ind w:left="426" w:right="-257"/>
        <w:jc w:val="left"/>
      </w:pPr>
      <w:r w:rsidRPr="3D8D0EEC" w:rsidR="3D8D0EEC">
        <w:rPr>
          <w:rFonts w:ascii="Calibri" w:hAnsi="Calibri" w:eastAsia="MS Mincho" w:cs="Cambria" w:asciiTheme="majorAscii" w:hAnsiTheme="majorAscii"/>
          <w:b w:val="1"/>
          <w:bCs w:val="1"/>
          <w:color w:val="3F6CAF"/>
          <w:sz w:val="28"/>
          <w:szCs w:val="28"/>
        </w:rPr>
        <w:t>Colony dosing – micro-dose MA</w:t>
      </w:r>
    </w:p>
    <w:p w:rsidR="00067370" w:rsidP="0024124A" w:rsidRDefault="00067370" w14:paraId="775260F6" w14:textId="2C7C62BE">
      <w:pPr>
        <w:pStyle w:val="CommentText"/>
        <w:keepNext/>
        <w:numPr>
          <w:ilvl w:val="3"/>
          <w:numId w:val="19"/>
        </w:numPr>
        <w:spacing w:after="0" w:line="240" w:lineRule="auto"/>
        <w:ind w:left="851" w:right="452"/>
        <w:rPr>
          <w:sz w:val="22"/>
          <w:szCs w:val="22"/>
        </w:rPr>
      </w:pPr>
      <w:r w:rsidRPr="652D0E33" w:rsidR="652D0E33">
        <w:rPr>
          <w:sz w:val="22"/>
          <w:szCs w:val="22"/>
        </w:rPr>
        <w:t>Can use at 0.1-0.2 mg/cat once a week, in colonies where individual dosing is not possible</w:t>
      </w:r>
    </w:p>
    <w:p w:rsidR="3D8D0EEC" w:rsidP="3D8D0EEC" w:rsidRDefault="3D8D0EEC" w14:paraId="73D396B2" w14:textId="7EFBA53A">
      <w:pPr>
        <w:pStyle w:val="CommentText"/>
        <w:numPr>
          <w:ilvl w:val="4"/>
          <w:numId w:val="19"/>
        </w:numPr>
        <w:spacing w:after="0" w:line="240" w:lineRule="auto"/>
        <w:ind w:left="1418" w:right="452"/>
        <w:rPr>
          <w:sz w:val="22"/>
          <w:szCs w:val="22"/>
        </w:rPr>
      </w:pPr>
      <w:r w:rsidRPr="3D8D0EEC" w:rsidR="3D8D0EEC">
        <w:rPr>
          <w:sz w:val="22"/>
          <w:szCs w:val="22"/>
        </w:rPr>
        <w:t>Practically speaking, prescribe 1mg per cat per week</w:t>
      </w:r>
    </w:p>
    <w:p w:rsidR="00067370" w:rsidP="00067370" w:rsidRDefault="008B460F" w14:paraId="4806FB83" w14:textId="0692EBE3">
      <w:pPr>
        <w:pStyle w:val="CommentText"/>
        <w:numPr>
          <w:ilvl w:val="4"/>
          <w:numId w:val="19"/>
        </w:numPr>
        <w:spacing w:after="0" w:line="240" w:lineRule="auto"/>
        <w:ind w:left="1418" w:right="452"/>
        <w:rPr>
          <w:sz w:val="22"/>
          <w:szCs w:val="22"/>
        </w:rPr>
      </w:pPr>
      <w:r w:rsidRPr="3D8D0EEC" w:rsidR="3D8D0EEC">
        <w:rPr>
          <w:sz w:val="22"/>
          <w:szCs w:val="22"/>
        </w:rPr>
        <w:t xml:space="preserve">Unable to control how much each cat gets </w:t>
      </w:r>
    </w:p>
    <w:p w:rsidR="00067370" w:rsidP="00067370" w:rsidRDefault="008B460F" w14:paraId="3E377C5D" w14:textId="77777777">
      <w:pPr>
        <w:pStyle w:val="CommentText"/>
        <w:numPr>
          <w:ilvl w:val="4"/>
          <w:numId w:val="19"/>
        </w:numPr>
        <w:spacing w:after="0" w:line="240" w:lineRule="auto"/>
        <w:ind w:left="1418" w:right="452"/>
        <w:rPr>
          <w:sz w:val="22"/>
          <w:szCs w:val="22"/>
        </w:rPr>
      </w:pPr>
      <w:r w:rsidRPr="3D8D0EEC" w:rsidR="3D8D0EEC">
        <w:rPr>
          <w:sz w:val="22"/>
          <w:szCs w:val="22"/>
        </w:rPr>
        <w:t>Unlikely to be harmful but may not be effective</w:t>
      </w:r>
    </w:p>
    <w:p w:rsidR="00067370" w:rsidP="00067370" w:rsidRDefault="008B460F" w14:paraId="6132C645" w14:textId="627C65F6">
      <w:pPr>
        <w:pStyle w:val="CommentText"/>
        <w:numPr>
          <w:ilvl w:val="4"/>
          <w:numId w:val="19"/>
        </w:numPr>
        <w:spacing w:after="0" w:line="240" w:lineRule="auto"/>
        <w:ind w:left="1418" w:right="452"/>
        <w:rPr>
          <w:sz w:val="22"/>
          <w:szCs w:val="22"/>
        </w:rPr>
      </w:pPr>
      <w:r w:rsidRPr="3D8D0EEC" w:rsidR="3D8D0EEC">
        <w:rPr>
          <w:sz w:val="22"/>
          <w:szCs w:val="22"/>
        </w:rPr>
        <w:t>Recommend using multiple small plastic or metal plates/bowls to encourage each cat to get its own dose</w:t>
      </w:r>
    </w:p>
    <w:p w:rsidRPr="00067370" w:rsidR="008B460F" w:rsidP="00067370" w:rsidRDefault="008B460F" w14:paraId="0847CF92" w14:textId="4BD4D598">
      <w:pPr>
        <w:pStyle w:val="CommentText"/>
        <w:numPr>
          <w:ilvl w:val="5"/>
          <w:numId w:val="19"/>
        </w:numPr>
        <w:spacing w:after="0" w:line="240" w:lineRule="auto"/>
        <w:ind w:left="1843" w:right="452"/>
        <w:rPr>
          <w:sz w:val="22"/>
          <w:szCs w:val="22"/>
        </w:rPr>
      </w:pPr>
      <w:r w:rsidRPr="3D8D0EEC" w:rsidR="3D8D0EEC">
        <w:rPr>
          <w:sz w:val="22"/>
          <w:szCs w:val="22"/>
        </w:rPr>
        <w:t>DO NOT use paper, the drug will be absorbed into the paper</w:t>
      </w:r>
    </w:p>
    <w:p w:rsidR="3D8D0EEC" w:rsidP="3D8D0EEC" w:rsidRDefault="3D8D0EEC" w14:paraId="6879C8B5" w14:textId="44925050">
      <w:pPr>
        <w:pStyle w:val="CommentText"/>
        <w:numPr>
          <w:ilvl w:val="5"/>
          <w:numId w:val="19"/>
        </w:numPr>
        <w:spacing w:after="0" w:line="240" w:lineRule="auto"/>
        <w:ind w:left="1843" w:right="452"/>
        <w:rPr>
          <w:sz w:val="22"/>
          <w:szCs w:val="22"/>
        </w:rPr>
      </w:pPr>
      <w:r w:rsidRPr="3D8D0EEC" w:rsidR="3D8D0EEC">
        <w:rPr>
          <w:sz w:val="22"/>
          <w:szCs w:val="22"/>
        </w:rPr>
        <w:t>If unable to provide one plate per cat, provide as many as possible</w:t>
      </w:r>
    </w:p>
    <w:p w:rsidR="00722C56" w:rsidP="00722C56" w:rsidRDefault="00722C56" w14:paraId="2CD46299" w14:textId="2D31AA09">
      <w:pPr>
        <w:pStyle w:val="CommentText"/>
        <w:spacing w:after="0" w:line="240" w:lineRule="auto"/>
        <w:ind w:right="452"/>
        <w:rPr>
          <w:sz w:val="22"/>
          <w:szCs w:val="22"/>
        </w:rPr>
      </w:pPr>
    </w:p>
    <w:p w:rsidRPr="008B460F" w:rsidR="00722C56" w:rsidP="008B460F" w:rsidRDefault="00722C56" w14:paraId="6554DC75" w14:textId="465E087E">
      <w:pPr>
        <w:pStyle w:val="CommentText"/>
        <w:spacing w:after="0" w:line="240" w:lineRule="auto"/>
        <w:ind w:left="426" w:right="-257"/>
        <w:rPr>
          <w:rFonts w:eastAsia="MS Mincho" w:cs="Cambria" w:asciiTheme="majorHAnsi" w:hAnsiTheme="majorHAnsi"/>
          <w:b/>
          <w:bCs/>
          <w:color w:val="3F6CAF"/>
          <w:sz w:val="28"/>
          <w:szCs w:val="28"/>
        </w:rPr>
      </w:pPr>
      <w:r w:rsidRPr="008B460F">
        <w:rPr>
          <w:rFonts w:eastAsia="MS Mincho" w:cs="Cambria" w:asciiTheme="majorHAnsi" w:hAnsiTheme="majorHAnsi"/>
          <w:b/>
          <w:bCs/>
          <w:color w:val="3F6CAF"/>
          <w:sz w:val="28"/>
          <w:szCs w:val="28"/>
        </w:rPr>
        <w:t>Warnings and contraindications</w:t>
      </w:r>
    </w:p>
    <w:p w:rsidR="008B460F" w:rsidP="00067370" w:rsidRDefault="008B460F" w14:paraId="16BB1B9B" w14:textId="0CD24C12">
      <w:pPr>
        <w:numPr>
          <w:ilvl w:val="0"/>
          <w:numId w:val="18"/>
        </w:numPr>
        <w:spacing w:after="0" w:line="240" w:lineRule="auto"/>
        <w:ind w:left="993"/>
      </w:pPr>
      <w:r w:rsidRPr="00067370">
        <w:rPr>
          <w:b/>
          <w:bCs/>
        </w:rPr>
        <w:t>Wear gloves when handling</w:t>
      </w:r>
      <w:r>
        <w:t>, can be absorbed through the skin</w:t>
      </w:r>
    </w:p>
    <w:p w:rsidR="008B460F" w:rsidP="00067370" w:rsidRDefault="008B460F" w14:paraId="49B4F093" w14:textId="425A2C70">
      <w:pPr>
        <w:numPr>
          <w:ilvl w:val="0"/>
          <w:numId w:val="18"/>
        </w:numPr>
        <w:spacing w:after="0" w:line="240" w:lineRule="auto"/>
        <w:ind w:left="993"/>
        <w:rPr/>
      </w:pPr>
      <w:r w:rsidR="3BBC9D1E">
        <w:rPr/>
        <w:t>Do not use in kittens &lt;4 mths of age – can cause uterine changes</w:t>
      </w:r>
    </w:p>
    <w:p w:rsidR="008B460F" w:rsidP="00067370" w:rsidRDefault="008B460F" w14:paraId="3D7E25A8" w14:textId="7887FC01">
      <w:pPr>
        <w:numPr>
          <w:ilvl w:val="0"/>
          <w:numId w:val="18"/>
        </w:numPr>
        <w:spacing w:after="0" w:line="240" w:lineRule="auto"/>
        <w:ind w:left="993"/>
      </w:pPr>
      <w:r w:rsidRPr="00067370">
        <w:rPr>
          <w:b/>
          <w:bCs/>
        </w:rPr>
        <w:t>Contraindicated in pregnant cats</w:t>
      </w:r>
      <w:r>
        <w:t xml:space="preserve"> - can cause stillbirths, mummification, dystocia, kitten malformations, kitten masculinization. Can also cause mammary hyperplasia and queens may not be able to lactate as a result (no direct effect on lactation).</w:t>
      </w:r>
    </w:p>
    <w:p w:rsidR="008B460F" w:rsidP="00067370" w:rsidRDefault="008B460F" w14:paraId="13DBA3A8" w14:textId="73A73DA4">
      <w:pPr>
        <w:numPr>
          <w:ilvl w:val="0"/>
          <w:numId w:val="18"/>
        </w:numPr>
        <w:spacing w:after="0" w:line="240" w:lineRule="auto"/>
        <w:ind w:left="993"/>
      </w:pPr>
      <w:r>
        <w:t>Safe for lactating queens</w:t>
      </w:r>
    </w:p>
    <w:p w:rsidR="008B460F" w:rsidP="00067370" w:rsidRDefault="008B460F" w14:paraId="71F4A301" w14:textId="01A8E781">
      <w:pPr>
        <w:numPr>
          <w:ilvl w:val="0"/>
          <w:numId w:val="18"/>
        </w:numPr>
        <w:spacing w:after="0" w:line="240" w:lineRule="auto"/>
        <w:ind w:left="993"/>
        <w:rPr/>
      </w:pPr>
      <w:r w:rsidR="3D8D0EEC">
        <w:rPr/>
        <w:t>Safe for male cats (has no effect)</w:t>
      </w:r>
    </w:p>
    <w:p w:rsidR="3D8D0EEC" w:rsidP="3D8D0EEC" w:rsidRDefault="3D8D0EEC" w14:paraId="6EED4BDA" w14:textId="1831C107">
      <w:pPr>
        <w:pStyle w:val="Normal"/>
        <w:numPr>
          <w:ilvl w:val="0"/>
          <w:numId w:val="18"/>
        </w:numPr>
        <w:spacing w:after="0" w:line="240" w:lineRule="auto"/>
        <w:ind w:left="993"/>
        <w:rPr/>
      </w:pPr>
      <w:r w:rsidR="3D8D0EEC">
        <w:rPr/>
        <w:t>Gentle resuspend before using (suspension not solution)</w:t>
      </w:r>
    </w:p>
    <w:p w:rsidR="008B460F" w:rsidP="008B460F" w:rsidRDefault="008B460F" w14:paraId="72247F89" w14:textId="77777777">
      <w:pPr>
        <w:spacing w:after="0" w:line="240" w:lineRule="auto"/>
      </w:pPr>
    </w:p>
    <w:p w:rsidRPr="008B460F" w:rsidR="00021684" w:rsidP="008B460F" w:rsidRDefault="008B460F" w14:paraId="35D13051" w14:textId="2D262722">
      <w:pPr>
        <w:pStyle w:val="CommentText"/>
        <w:spacing w:after="0" w:line="240" w:lineRule="auto"/>
        <w:ind w:left="426" w:right="-257"/>
        <w:rPr>
          <w:rFonts w:eastAsia="MS Mincho" w:cs="Cambria" w:asciiTheme="majorHAnsi" w:hAnsiTheme="majorHAnsi"/>
          <w:b/>
          <w:bCs/>
          <w:color w:val="3F6CAF"/>
          <w:sz w:val="28"/>
          <w:szCs w:val="28"/>
        </w:rPr>
      </w:pPr>
      <w:r w:rsidRPr="008B460F">
        <w:rPr>
          <w:rFonts w:eastAsia="MS Mincho" w:cs="Cambria" w:asciiTheme="majorHAnsi" w:hAnsiTheme="majorHAnsi"/>
          <w:b/>
          <w:bCs/>
          <w:color w:val="3F6CAF"/>
          <w:sz w:val="28"/>
          <w:szCs w:val="28"/>
        </w:rPr>
        <w:t>Adverse effects</w:t>
      </w:r>
    </w:p>
    <w:p w:rsidR="008B460F" w:rsidP="00021684" w:rsidRDefault="008B460F" w14:paraId="2BB8213D" w14:textId="51DFEB7D">
      <w:pPr>
        <w:spacing w:after="0" w:line="240" w:lineRule="auto"/>
        <w:rPr>
          <w:noProof/>
        </w:rPr>
      </w:pPr>
    </w:p>
    <w:p w:rsidR="008B460F" w:rsidP="008B460F" w:rsidRDefault="008B460F" w14:paraId="1659FB72" w14:textId="33988EAF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21F048A1" wp14:editId="2CD3AF0C">
            <wp:extent cx="4124483" cy="188421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71478" cy="190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578" w:rsidP="008B460F" w:rsidRDefault="00130578" w14:paraId="7EA6B194" w14:textId="77777777">
      <w:pPr>
        <w:spacing w:after="0" w:line="240" w:lineRule="auto"/>
        <w:jc w:val="center"/>
        <w:rPr>
          <w:noProof/>
        </w:rPr>
      </w:pPr>
    </w:p>
    <w:p w:rsidR="0024124A" w:rsidP="0024124A" w:rsidRDefault="0024124A" w14:paraId="52A92C77" w14:textId="70BC02DE">
      <w:pPr>
        <w:numPr>
          <w:ilvl w:val="0"/>
          <w:numId w:val="21"/>
        </w:numPr>
        <w:spacing w:after="0" w:line="240" w:lineRule="auto"/>
      </w:pPr>
      <w:r>
        <w:t>The doses provided are low and much safer than doses used in the past</w:t>
      </w:r>
    </w:p>
    <w:p w:rsidR="00021684" w:rsidP="0024124A" w:rsidRDefault="0024124A" w14:paraId="4A83888A" w14:textId="5728A74A">
      <w:pPr>
        <w:numPr>
          <w:ilvl w:val="0"/>
          <w:numId w:val="21"/>
        </w:numPr>
        <w:spacing w:after="0" w:line="240" w:lineRule="auto"/>
        <w:rPr>
          <w:noProof/>
        </w:rPr>
      </w:pPr>
      <w:r>
        <w:rPr>
          <w:noProof/>
        </w:rPr>
        <w:t xml:space="preserve">Binds to glucocorticoid receptors. </w:t>
      </w:r>
      <w:r w:rsidR="00C06F94">
        <w:rPr>
          <w:noProof/>
        </w:rPr>
        <w:t xml:space="preserve">Diabetes and adrenocortical suppression </w:t>
      </w:r>
      <w:r>
        <w:rPr>
          <w:noProof/>
        </w:rPr>
        <w:t xml:space="preserve">may occur but </w:t>
      </w:r>
      <w:r w:rsidR="00C06F94">
        <w:rPr>
          <w:noProof/>
        </w:rPr>
        <w:t>are transient and stop when the drug is stopped</w:t>
      </w:r>
      <w:r>
        <w:rPr>
          <w:noProof/>
        </w:rPr>
        <w:t>; clinically significant AC suppression appears to be very rare</w:t>
      </w:r>
    </w:p>
    <w:p w:rsidR="0024124A" w:rsidP="0024124A" w:rsidRDefault="0024124A" w14:paraId="4DA6AADB" w14:textId="0DF57FC2">
      <w:pPr>
        <w:spacing w:after="0" w:line="240" w:lineRule="auto"/>
        <w:rPr>
          <w:noProof/>
        </w:rPr>
      </w:pPr>
    </w:p>
    <w:p w:rsidR="0024124A" w:rsidP="0024124A" w:rsidRDefault="0024124A" w14:paraId="23C9172D" w14:textId="7F4F420C">
      <w:pPr>
        <w:pStyle w:val="CommentText"/>
        <w:spacing w:after="0" w:line="240" w:lineRule="auto"/>
        <w:ind w:left="426" w:right="-257"/>
        <w:rPr>
          <w:rFonts w:eastAsia="MS Mincho" w:cs="Cambria" w:asciiTheme="majorHAnsi" w:hAnsiTheme="majorHAnsi"/>
          <w:b/>
          <w:bCs/>
          <w:color w:val="3F6CAF"/>
          <w:sz w:val="28"/>
          <w:szCs w:val="28"/>
        </w:rPr>
      </w:pPr>
      <w:r>
        <w:rPr>
          <w:rFonts w:eastAsia="MS Mincho" w:cs="Cambria" w:asciiTheme="majorHAnsi" w:hAnsiTheme="majorHAnsi"/>
          <w:b/>
          <w:bCs/>
          <w:color w:val="3F6CAF"/>
          <w:sz w:val="28"/>
          <w:szCs w:val="28"/>
        </w:rPr>
        <w:t>Prescription</w:t>
      </w:r>
      <w:r w:rsidR="0083400A">
        <w:rPr>
          <w:rFonts w:eastAsia="MS Mincho" w:cs="Cambria" w:asciiTheme="majorHAnsi" w:hAnsiTheme="majorHAnsi"/>
          <w:b/>
          <w:bCs/>
          <w:color w:val="3F6CAF"/>
          <w:sz w:val="28"/>
          <w:szCs w:val="28"/>
        </w:rPr>
        <w:t xml:space="preserve"> and disclosure</w:t>
      </w:r>
    </w:p>
    <w:p w:rsidR="0024124A" w:rsidP="00AD142D" w:rsidRDefault="0024124A" w14:paraId="06CB74D8" w14:textId="0E9A1786">
      <w:pPr>
        <w:numPr>
          <w:ilvl w:val="0"/>
          <w:numId w:val="22"/>
        </w:numPr>
        <w:spacing w:after="0" w:line="240" w:lineRule="auto"/>
        <w:ind w:left="993"/>
      </w:pPr>
      <w:r>
        <w:lastRenderedPageBreak/>
        <w:t>Telemedicine consult required, prescription only by a DVM</w:t>
      </w:r>
    </w:p>
    <w:p w:rsidR="008B45E1" w:rsidP="00AD142D" w:rsidRDefault="008B45E1" w14:paraId="48852BB2" w14:textId="206AF8E9">
      <w:pPr>
        <w:numPr>
          <w:ilvl w:val="0"/>
          <w:numId w:val="22"/>
        </w:numPr>
        <w:spacing w:after="0" w:line="240" w:lineRule="auto"/>
        <w:ind w:left="993"/>
        <w:rPr/>
      </w:pPr>
      <w:r w:rsidR="3D8D0EEC">
        <w:rPr/>
        <w:t>Disclosure needed, as well as ELDU disclosure – see disclosure package for colony caregivers</w:t>
      </w:r>
    </w:p>
    <w:p w:rsidR="00DA2A7B" w:rsidP="0024124A" w:rsidRDefault="00DA2A7B" w14:paraId="5608BA59" w14:textId="76AE906E">
      <w:pPr>
        <w:numPr>
          <w:ilvl w:val="0"/>
          <w:numId w:val="22"/>
        </w:numPr>
        <w:spacing w:after="0" w:line="240" w:lineRule="auto"/>
        <w:ind w:left="993"/>
        <w:rPr/>
      </w:pPr>
      <w:r w:rsidR="3D8D0EEC">
        <w:rPr/>
        <w:t>Cost to us for the compounded solution is approx. $2.15-$4.20 per mL, 4 doses per mL so approx. 50c-$1 per cat per week [Jan 2021]</w:t>
      </w:r>
    </w:p>
    <w:p w:rsidRPr="0024124A" w:rsidR="0024124A" w:rsidP="0024124A" w:rsidRDefault="0024124A" w14:paraId="1E32F40B" w14:textId="77777777">
      <w:pPr>
        <w:spacing w:after="0" w:line="240" w:lineRule="auto"/>
        <w:rPr>
          <w:noProof/>
        </w:rPr>
      </w:pPr>
    </w:p>
    <w:sectPr w:rsidRPr="0024124A" w:rsidR="0024124A" w:rsidSect="000509CC">
      <w:footerReference w:type="default" r:id="rId12"/>
      <w:pgSz w:w="12240" w:h="15840" w:orient="portrait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5C8F" w:rsidP="00787848" w:rsidRDefault="00CA5C8F" w14:paraId="678DD3C8" w14:textId="77777777">
      <w:pPr>
        <w:spacing w:after="0" w:line="240" w:lineRule="auto"/>
      </w:pPr>
      <w:r>
        <w:separator/>
      </w:r>
    </w:p>
  </w:endnote>
  <w:endnote w:type="continuationSeparator" w:id="0">
    <w:p w:rsidR="00CA5C8F" w:rsidP="00787848" w:rsidRDefault="00CA5C8F" w14:paraId="4868875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325803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Pr="006530D2" w:rsidR="000509CC" w:rsidRDefault="000509CC" w14:paraId="070F447F" w14:textId="39F9508D">
        <w:pPr>
          <w:pStyle w:val="Footer"/>
          <w:jc w:val="right"/>
          <w:rPr>
            <w:sz w:val="18"/>
            <w:szCs w:val="18"/>
          </w:rPr>
        </w:pPr>
        <w:r w:rsidRPr="006530D2">
          <w:rPr>
            <w:sz w:val="18"/>
            <w:szCs w:val="18"/>
          </w:rPr>
          <w:fldChar w:fldCharType="begin"/>
        </w:r>
        <w:r w:rsidRPr="006530D2">
          <w:rPr>
            <w:sz w:val="18"/>
            <w:szCs w:val="18"/>
          </w:rPr>
          <w:instrText xml:space="preserve"> PAGE   \* MERGEFORMAT </w:instrText>
        </w:r>
        <w:r w:rsidRPr="006530D2">
          <w:rPr>
            <w:sz w:val="18"/>
            <w:szCs w:val="18"/>
          </w:rPr>
          <w:fldChar w:fldCharType="separate"/>
        </w:r>
        <w:r w:rsidR="0030452C">
          <w:rPr>
            <w:noProof/>
            <w:sz w:val="18"/>
            <w:szCs w:val="18"/>
          </w:rPr>
          <w:t>1</w:t>
        </w:r>
        <w:r w:rsidRPr="006530D2">
          <w:rPr>
            <w:noProof/>
            <w:sz w:val="18"/>
            <w:szCs w:val="18"/>
          </w:rPr>
          <w:fldChar w:fldCharType="end"/>
        </w:r>
      </w:p>
    </w:sdtContent>
  </w:sdt>
  <w:p w:rsidR="000509CC" w:rsidRDefault="000509CC" w14:paraId="14825D0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5C8F" w:rsidP="00787848" w:rsidRDefault="00CA5C8F" w14:paraId="27554AB9" w14:textId="77777777">
      <w:pPr>
        <w:spacing w:after="0" w:line="240" w:lineRule="auto"/>
      </w:pPr>
      <w:r>
        <w:separator/>
      </w:r>
    </w:p>
  </w:footnote>
  <w:footnote w:type="continuationSeparator" w:id="0">
    <w:p w:rsidR="00CA5C8F" w:rsidP="00787848" w:rsidRDefault="00CA5C8F" w14:paraId="0C62941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03E1C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6267AE"/>
    <w:multiLevelType w:val="hybridMultilevel"/>
    <w:tmpl w:val="17427DB4"/>
    <w:lvl w:ilvl="0">
      <w:start w:val="1"/>
      <w:numFmt w:val="decimal"/>
      <w:lvlText w:val="%1."/>
      <w:lvlJc w:val="left"/>
      <w:pPr>
        <w:ind w:left="1871" w:hanging="431"/>
      </w:pPr>
      <w:rPr>
        <w:rFonts w:hint="default" w:ascii="Calibri" w:hAnsi="Calibri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5B234BB"/>
    <w:multiLevelType w:val="hybridMultilevel"/>
    <w:tmpl w:val="D806E7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73276"/>
    <w:multiLevelType w:val="hybridMultilevel"/>
    <w:tmpl w:val="31944F00"/>
    <w:lvl w:ilvl="0" w:tplc="100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 w15:restartNumberingAfterBreak="0">
    <w:nsid w:val="1A7C38E3"/>
    <w:multiLevelType w:val="multilevel"/>
    <w:tmpl w:val="37F2A1BA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5" w15:restartNumberingAfterBreak="0">
    <w:nsid w:val="1B566530"/>
    <w:multiLevelType w:val="hybridMultilevel"/>
    <w:tmpl w:val="2F927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16112"/>
    <w:multiLevelType w:val="hybridMultilevel"/>
    <w:tmpl w:val="17427DB4"/>
    <w:lvl w:ilvl="0">
      <w:start w:val="1"/>
      <w:numFmt w:val="decimal"/>
      <w:lvlText w:val="%1."/>
      <w:lvlJc w:val="left"/>
      <w:pPr>
        <w:ind w:left="1871" w:hanging="431"/>
      </w:pPr>
      <w:rPr>
        <w:rFonts w:hint="default" w:ascii="Calibri" w:hAnsi="Calibri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DE43129"/>
    <w:multiLevelType w:val="multilevel"/>
    <w:tmpl w:val="4694EA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18B6A71"/>
    <w:multiLevelType w:val="multilevel"/>
    <w:tmpl w:val="B8AA0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83A80"/>
    <w:multiLevelType w:val="hybridMultilevel"/>
    <w:tmpl w:val="EA38FD4E"/>
    <w:lvl w:ilvl="0" w:tplc="0409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0" w15:restartNumberingAfterBreak="0">
    <w:nsid w:val="3E9A6944"/>
    <w:multiLevelType w:val="multilevel"/>
    <w:tmpl w:val="17427DB4"/>
    <w:lvl w:ilvl="0">
      <w:start w:val="1"/>
      <w:numFmt w:val="decimal"/>
      <w:lvlText w:val="%1."/>
      <w:lvlJc w:val="left"/>
      <w:pPr>
        <w:ind w:left="1871" w:hanging="431"/>
      </w:pPr>
      <w:rPr>
        <w:rFonts w:hint="default" w:ascii="Calibri" w:hAnsi="Calibri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2696FB8"/>
    <w:multiLevelType w:val="hybridMultilevel"/>
    <w:tmpl w:val="17427DB4"/>
    <w:lvl w:ilvl="0">
      <w:start w:val="1"/>
      <w:numFmt w:val="decimal"/>
      <w:lvlText w:val="%1."/>
      <w:lvlJc w:val="left"/>
      <w:pPr>
        <w:ind w:left="1871" w:hanging="431"/>
      </w:pPr>
      <w:rPr>
        <w:rFonts w:hint="default" w:ascii="Calibri" w:hAnsi="Calibri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04E15FD"/>
    <w:multiLevelType w:val="hybridMultilevel"/>
    <w:tmpl w:val="17427DB4"/>
    <w:lvl w:ilvl="0">
      <w:start w:val="1"/>
      <w:numFmt w:val="decimal"/>
      <w:lvlText w:val="%1."/>
      <w:lvlJc w:val="left"/>
      <w:pPr>
        <w:ind w:left="1871" w:hanging="431"/>
      </w:pPr>
      <w:rPr>
        <w:rFonts w:hint="default" w:ascii="Calibri" w:hAnsi="Calibri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0A5146A"/>
    <w:multiLevelType w:val="multilevel"/>
    <w:tmpl w:val="B298F1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4" w15:restartNumberingAfterBreak="0">
    <w:nsid w:val="5BC323F8"/>
    <w:multiLevelType w:val="hybridMultilevel"/>
    <w:tmpl w:val="566CCCA0"/>
    <w:lvl w:ilvl="0" w:tplc="04090001">
      <w:start w:val="1"/>
      <w:numFmt w:val="bullet"/>
      <w:lvlText w:val=""/>
      <w:lvlJc w:val="left"/>
      <w:pPr>
        <w:ind w:left="21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8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hint="default" w:ascii="Wingdings" w:hAnsi="Wingdings"/>
      </w:rPr>
    </w:lvl>
  </w:abstractNum>
  <w:abstractNum w:abstractNumId="15" w15:restartNumberingAfterBreak="0">
    <w:nsid w:val="5E1D4AC9"/>
    <w:multiLevelType w:val="hybridMultilevel"/>
    <w:tmpl w:val="A35209A2"/>
    <w:lvl w:ilvl="0">
      <w:start w:val="1"/>
      <w:numFmt w:val="decimal"/>
      <w:lvlText w:val="%1."/>
      <w:lvlJc w:val="left"/>
      <w:pPr>
        <w:ind w:left="1871" w:hanging="431"/>
      </w:pPr>
      <w:rPr>
        <w:rFonts w:hint="default" w:ascii="Calibri" w:hAnsi="Calibri"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0975084"/>
    <w:multiLevelType w:val="multilevel"/>
    <w:tmpl w:val="17427DB4"/>
    <w:lvl w:ilvl="0">
      <w:start w:val="1"/>
      <w:numFmt w:val="decimal"/>
      <w:lvlText w:val="%1."/>
      <w:lvlJc w:val="left"/>
      <w:pPr>
        <w:ind w:left="1871" w:hanging="431"/>
      </w:pPr>
      <w:rPr>
        <w:rFonts w:hint="default" w:ascii="Calibri" w:hAnsi="Calibri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7A862A6"/>
    <w:multiLevelType w:val="multilevel"/>
    <w:tmpl w:val="95D46976"/>
    <w:lvl w:ilvl="0" w:tplc="00000066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27A15"/>
    <w:multiLevelType w:val="multilevel"/>
    <w:tmpl w:val="60028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27089"/>
    <w:multiLevelType w:val="multilevel"/>
    <w:tmpl w:val="CAA0E402"/>
    <w:lvl w:ilvl="0" w:tplc="9086C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F7DC6"/>
    <w:multiLevelType w:val="multilevel"/>
    <w:tmpl w:val="0D503130"/>
    <w:styleLink w:val="Liststyl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24869"/>
    <w:multiLevelType w:val="hybridMultilevel"/>
    <w:tmpl w:val="0D503130"/>
    <w:styleLink w:val="ListstyleSOP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Times New Roman" w:cs="Times New Roman"/>
      </w:rPr>
    </w:lvl>
    <w:lvl w:ilvl="1">
      <w:start w:val="2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</w:num>
  <w:num w:numId="7">
    <w:abstractNumId w:val="0"/>
  </w:num>
  <w:num w:numId="8">
    <w:abstractNumId w:val="2"/>
  </w:num>
  <w:num w:numId="9">
    <w:abstractNumId w:val="3"/>
  </w:num>
  <w:num w:numId="10">
    <w:abstractNumId w:val="18"/>
  </w:num>
  <w:num w:numId="11">
    <w:abstractNumId w:val="15"/>
  </w:num>
  <w:num w:numId="12">
    <w:abstractNumId w:val="20"/>
  </w:num>
  <w:num w:numId="13">
    <w:abstractNumId w:val="21"/>
  </w:num>
  <w:num w:numId="14">
    <w:abstractNumId w:val="1"/>
  </w:num>
  <w:num w:numId="15">
    <w:abstractNumId w:val="9"/>
  </w:num>
  <w:num w:numId="16">
    <w:abstractNumId w:val="7"/>
  </w:num>
  <w:num w:numId="17">
    <w:abstractNumId w:val="6"/>
  </w:num>
  <w:num w:numId="18">
    <w:abstractNumId w:val="12"/>
  </w:num>
  <w:num w:numId="19">
    <w:abstractNumId w:val="16"/>
  </w:num>
  <w:num w:numId="20">
    <w:abstractNumId w:val="10"/>
  </w:num>
  <w:num w:numId="21">
    <w:abstractNumId w:val="13"/>
  </w:num>
  <w:num w:numId="2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writeProtection w:recommended="1"/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E0"/>
    <w:rsid w:val="00004AFD"/>
    <w:rsid w:val="00015DCA"/>
    <w:rsid w:val="00021684"/>
    <w:rsid w:val="000233F9"/>
    <w:rsid w:val="000509CC"/>
    <w:rsid w:val="000545F3"/>
    <w:rsid w:val="00064644"/>
    <w:rsid w:val="00067370"/>
    <w:rsid w:val="00086ABE"/>
    <w:rsid w:val="000A548F"/>
    <w:rsid w:val="000B0D30"/>
    <w:rsid w:val="000D7DAE"/>
    <w:rsid w:val="000F7963"/>
    <w:rsid w:val="00104610"/>
    <w:rsid w:val="001055FB"/>
    <w:rsid w:val="00123658"/>
    <w:rsid w:val="001236F3"/>
    <w:rsid w:val="00130578"/>
    <w:rsid w:val="0013305C"/>
    <w:rsid w:val="001351DD"/>
    <w:rsid w:val="00142B3C"/>
    <w:rsid w:val="00155974"/>
    <w:rsid w:val="00162842"/>
    <w:rsid w:val="00165B5B"/>
    <w:rsid w:val="00166D2D"/>
    <w:rsid w:val="00174B9C"/>
    <w:rsid w:val="00175C08"/>
    <w:rsid w:val="0019300C"/>
    <w:rsid w:val="0019516D"/>
    <w:rsid w:val="001A417A"/>
    <w:rsid w:val="001A7A88"/>
    <w:rsid w:val="001B280B"/>
    <w:rsid w:val="001B4291"/>
    <w:rsid w:val="001C7E5B"/>
    <w:rsid w:val="001F1D7E"/>
    <w:rsid w:val="001F20BA"/>
    <w:rsid w:val="00207A37"/>
    <w:rsid w:val="00222605"/>
    <w:rsid w:val="002400D3"/>
    <w:rsid w:val="0024124A"/>
    <w:rsid w:val="00241E2C"/>
    <w:rsid w:val="00250CB7"/>
    <w:rsid w:val="00253FE9"/>
    <w:rsid w:val="002618D0"/>
    <w:rsid w:val="00262207"/>
    <w:rsid w:val="002B211B"/>
    <w:rsid w:val="002B69B7"/>
    <w:rsid w:val="002F4B42"/>
    <w:rsid w:val="002F5223"/>
    <w:rsid w:val="0030452C"/>
    <w:rsid w:val="00306697"/>
    <w:rsid w:val="0031118B"/>
    <w:rsid w:val="00314A6D"/>
    <w:rsid w:val="00336588"/>
    <w:rsid w:val="0034180B"/>
    <w:rsid w:val="00353BAB"/>
    <w:rsid w:val="00367E13"/>
    <w:rsid w:val="00392699"/>
    <w:rsid w:val="003B2C32"/>
    <w:rsid w:val="003C2B73"/>
    <w:rsid w:val="003C5D14"/>
    <w:rsid w:val="00404791"/>
    <w:rsid w:val="0041475B"/>
    <w:rsid w:val="00427FCB"/>
    <w:rsid w:val="00432C69"/>
    <w:rsid w:val="00433A82"/>
    <w:rsid w:val="0043698A"/>
    <w:rsid w:val="00436BB1"/>
    <w:rsid w:val="00445022"/>
    <w:rsid w:val="00452374"/>
    <w:rsid w:val="0045324A"/>
    <w:rsid w:val="00453E99"/>
    <w:rsid w:val="00455FE6"/>
    <w:rsid w:val="00470CE3"/>
    <w:rsid w:val="004755E9"/>
    <w:rsid w:val="00492314"/>
    <w:rsid w:val="004A604B"/>
    <w:rsid w:val="004B5A9B"/>
    <w:rsid w:val="004C2B34"/>
    <w:rsid w:val="004D6B21"/>
    <w:rsid w:val="004D7963"/>
    <w:rsid w:val="004E7364"/>
    <w:rsid w:val="004F7F8D"/>
    <w:rsid w:val="005063F8"/>
    <w:rsid w:val="00526C40"/>
    <w:rsid w:val="00554727"/>
    <w:rsid w:val="00585CC4"/>
    <w:rsid w:val="005908E0"/>
    <w:rsid w:val="005908F0"/>
    <w:rsid w:val="0059676E"/>
    <w:rsid w:val="00597293"/>
    <w:rsid w:val="005B25B2"/>
    <w:rsid w:val="005B67A0"/>
    <w:rsid w:val="005C3C8F"/>
    <w:rsid w:val="005D688F"/>
    <w:rsid w:val="005E3485"/>
    <w:rsid w:val="00602019"/>
    <w:rsid w:val="006174A3"/>
    <w:rsid w:val="00617773"/>
    <w:rsid w:val="00620175"/>
    <w:rsid w:val="0062057A"/>
    <w:rsid w:val="00620FC7"/>
    <w:rsid w:val="006225E7"/>
    <w:rsid w:val="006417D4"/>
    <w:rsid w:val="00647AAE"/>
    <w:rsid w:val="00647F4A"/>
    <w:rsid w:val="006530D2"/>
    <w:rsid w:val="006651B4"/>
    <w:rsid w:val="006C0E01"/>
    <w:rsid w:val="006C3A21"/>
    <w:rsid w:val="006D41B9"/>
    <w:rsid w:val="00704050"/>
    <w:rsid w:val="00707695"/>
    <w:rsid w:val="00707ECF"/>
    <w:rsid w:val="00713E74"/>
    <w:rsid w:val="00715F36"/>
    <w:rsid w:val="00722C56"/>
    <w:rsid w:val="00730144"/>
    <w:rsid w:val="00733862"/>
    <w:rsid w:val="00750CBF"/>
    <w:rsid w:val="00761006"/>
    <w:rsid w:val="00773E4D"/>
    <w:rsid w:val="00782B70"/>
    <w:rsid w:val="00787848"/>
    <w:rsid w:val="00790C76"/>
    <w:rsid w:val="0079339B"/>
    <w:rsid w:val="007A0029"/>
    <w:rsid w:val="007A112D"/>
    <w:rsid w:val="007B10B7"/>
    <w:rsid w:val="007C4ACA"/>
    <w:rsid w:val="007C5F16"/>
    <w:rsid w:val="007C7E22"/>
    <w:rsid w:val="007D4C26"/>
    <w:rsid w:val="0081317F"/>
    <w:rsid w:val="00824F11"/>
    <w:rsid w:val="0083400A"/>
    <w:rsid w:val="008608E4"/>
    <w:rsid w:val="00860E1A"/>
    <w:rsid w:val="0087211B"/>
    <w:rsid w:val="0087397A"/>
    <w:rsid w:val="008807CB"/>
    <w:rsid w:val="008850B8"/>
    <w:rsid w:val="00886600"/>
    <w:rsid w:val="008B45E1"/>
    <w:rsid w:val="008B460F"/>
    <w:rsid w:val="008C29B0"/>
    <w:rsid w:val="008C38D6"/>
    <w:rsid w:val="008E58F0"/>
    <w:rsid w:val="008F10D4"/>
    <w:rsid w:val="00970688"/>
    <w:rsid w:val="009724C6"/>
    <w:rsid w:val="009801EF"/>
    <w:rsid w:val="009B0A5C"/>
    <w:rsid w:val="009B41F0"/>
    <w:rsid w:val="009B6BBA"/>
    <w:rsid w:val="009B786B"/>
    <w:rsid w:val="009C4DE4"/>
    <w:rsid w:val="009D08D7"/>
    <w:rsid w:val="009E227F"/>
    <w:rsid w:val="009E5465"/>
    <w:rsid w:val="009E7FE6"/>
    <w:rsid w:val="00A0316E"/>
    <w:rsid w:val="00A1685C"/>
    <w:rsid w:val="00A31814"/>
    <w:rsid w:val="00A3604D"/>
    <w:rsid w:val="00A3617C"/>
    <w:rsid w:val="00A44CD3"/>
    <w:rsid w:val="00A465BB"/>
    <w:rsid w:val="00A60EA8"/>
    <w:rsid w:val="00A7194F"/>
    <w:rsid w:val="00A93B9B"/>
    <w:rsid w:val="00AA23EE"/>
    <w:rsid w:val="00AA3B82"/>
    <w:rsid w:val="00AB4619"/>
    <w:rsid w:val="00AC0D5C"/>
    <w:rsid w:val="00AD142D"/>
    <w:rsid w:val="00AF1FA9"/>
    <w:rsid w:val="00B0794D"/>
    <w:rsid w:val="00B23E5F"/>
    <w:rsid w:val="00B346D2"/>
    <w:rsid w:val="00B405AD"/>
    <w:rsid w:val="00B44E82"/>
    <w:rsid w:val="00B502B1"/>
    <w:rsid w:val="00B55209"/>
    <w:rsid w:val="00B83BDF"/>
    <w:rsid w:val="00B90613"/>
    <w:rsid w:val="00BC1064"/>
    <w:rsid w:val="00BD6ACC"/>
    <w:rsid w:val="00BE172A"/>
    <w:rsid w:val="00C06F94"/>
    <w:rsid w:val="00C37679"/>
    <w:rsid w:val="00C7005C"/>
    <w:rsid w:val="00C87946"/>
    <w:rsid w:val="00CA059B"/>
    <w:rsid w:val="00CA3E9F"/>
    <w:rsid w:val="00CA5C8F"/>
    <w:rsid w:val="00CC39C9"/>
    <w:rsid w:val="00CD4AEF"/>
    <w:rsid w:val="00CE7037"/>
    <w:rsid w:val="00D218A0"/>
    <w:rsid w:val="00D3319A"/>
    <w:rsid w:val="00D715C9"/>
    <w:rsid w:val="00D7477E"/>
    <w:rsid w:val="00D75E37"/>
    <w:rsid w:val="00D87CDB"/>
    <w:rsid w:val="00D955FE"/>
    <w:rsid w:val="00D9792B"/>
    <w:rsid w:val="00DA2A7B"/>
    <w:rsid w:val="00DA797F"/>
    <w:rsid w:val="00DB2520"/>
    <w:rsid w:val="00DB2C06"/>
    <w:rsid w:val="00DB48AF"/>
    <w:rsid w:val="00DD06C8"/>
    <w:rsid w:val="00DD5C6D"/>
    <w:rsid w:val="00DE3A61"/>
    <w:rsid w:val="00DF1797"/>
    <w:rsid w:val="00DF2BFF"/>
    <w:rsid w:val="00E148BB"/>
    <w:rsid w:val="00E15A07"/>
    <w:rsid w:val="00E40ED9"/>
    <w:rsid w:val="00E566F3"/>
    <w:rsid w:val="00E90C14"/>
    <w:rsid w:val="00E9746F"/>
    <w:rsid w:val="00EA345A"/>
    <w:rsid w:val="00EA4E82"/>
    <w:rsid w:val="00EC794E"/>
    <w:rsid w:val="00F1002F"/>
    <w:rsid w:val="00F1094F"/>
    <w:rsid w:val="00F70762"/>
    <w:rsid w:val="00F8418D"/>
    <w:rsid w:val="00F86F1F"/>
    <w:rsid w:val="00F9083B"/>
    <w:rsid w:val="00F90BEE"/>
    <w:rsid w:val="00F90D75"/>
    <w:rsid w:val="00FB292E"/>
    <w:rsid w:val="00FB46F2"/>
    <w:rsid w:val="00FB67B7"/>
    <w:rsid w:val="00FC7EAD"/>
    <w:rsid w:val="00FD552E"/>
    <w:rsid w:val="00FD6A0D"/>
    <w:rsid w:val="00FD706F"/>
    <w:rsid w:val="00FE5B75"/>
    <w:rsid w:val="00FF2F29"/>
    <w:rsid w:val="00FF3725"/>
    <w:rsid w:val="00FF75E1"/>
    <w:rsid w:val="3BBC9D1E"/>
    <w:rsid w:val="3D8D0EEC"/>
    <w:rsid w:val="652D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FE2338"/>
  <w15:docId w15:val="{EA30F74F-EEB8-4CCA-834F-7E64CF58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86600"/>
    <w:pPr>
      <w:spacing w:after="200" w:line="276" w:lineRule="auto"/>
    </w:pPr>
    <w:rPr>
      <w:sz w:val="22"/>
      <w:szCs w:val="2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684"/>
    <w:pPr>
      <w:keepNext/>
      <w:keepLines/>
      <w:spacing w:before="40" w:after="0" w:line="259" w:lineRule="auto"/>
      <w:outlineLvl w:val="1"/>
    </w:pPr>
    <w:rPr>
      <w:rFonts w:asciiTheme="majorHAnsi" w:hAnsiTheme="majorHAnsi" w:eastAsiaTheme="majorEastAsia" w:cstheme="majorBidi"/>
      <w:b/>
      <w:color w:val="C0504D" w:themeColor="accent2"/>
      <w:sz w:val="26"/>
      <w:szCs w:val="26"/>
      <w:u w:val="single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5908E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Paragraph">
    <w:name w:val="List Paragraph"/>
    <w:basedOn w:val="Normal"/>
    <w:uiPriority w:val="34"/>
    <w:qFormat/>
    <w:rsid w:val="009B6BBA"/>
    <w:pPr>
      <w:ind w:left="720"/>
      <w:contextualSpacing/>
    </w:pPr>
  </w:style>
  <w:style w:type="character" w:styleId="CommentReference">
    <w:name w:val="annotation reference"/>
    <w:semiHidden/>
    <w:rsid w:val="00DF2B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F2B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F2BFF"/>
    <w:rPr>
      <w:b/>
      <w:bCs/>
    </w:rPr>
  </w:style>
  <w:style w:type="paragraph" w:styleId="BalloonText">
    <w:name w:val="Balloon Text"/>
    <w:basedOn w:val="Normal"/>
    <w:semiHidden/>
    <w:rsid w:val="00DF2B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211B"/>
    <w:pPr>
      <w:spacing w:before="100" w:beforeAutospacing="1" w:after="100" w:afterAutospacing="1" w:line="240" w:lineRule="auto"/>
    </w:pPr>
    <w:rPr>
      <w:rFonts w:ascii="Times" w:hAnsi="Times" w:eastAsia="MS Mincho"/>
      <w:sz w:val="20"/>
      <w:szCs w:val="20"/>
      <w:lang w:val="en-US"/>
    </w:rPr>
  </w:style>
  <w:style w:type="character" w:styleId="text119219font1" w:customStyle="1">
    <w:name w:val="text119219font1"/>
    <w:rsid w:val="002B211B"/>
  </w:style>
  <w:style w:type="character" w:styleId="text119219font5" w:customStyle="1">
    <w:name w:val="text119219font5"/>
    <w:rsid w:val="002B211B"/>
  </w:style>
  <w:style w:type="paragraph" w:styleId="Body" w:customStyle="1">
    <w:name w:val="Body"/>
    <w:autoRedefine/>
    <w:rsid w:val="00E15A07"/>
    <w:rPr>
      <w:rFonts w:ascii="Helvetica" w:hAnsi="Arial Unicode MS" w:eastAsia="Arial Unicode MS" w:cs="Arial Unicode MS"/>
      <w:color w:val="000000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87848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87848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87848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87848"/>
    <w:rPr>
      <w:sz w:val="22"/>
      <w:szCs w:val="22"/>
      <w:lang w:val="en-CA"/>
    </w:rPr>
  </w:style>
  <w:style w:type="character" w:styleId="title12" w:customStyle="1">
    <w:name w:val="title12"/>
    <w:rsid w:val="005C3C8F"/>
  </w:style>
  <w:style w:type="numbering" w:styleId="Liststyle" w:customStyle="1">
    <w:name w:val="List style"/>
    <w:uiPriority w:val="99"/>
    <w:rsid w:val="005C3C8F"/>
    <w:pPr>
      <w:numPr>
        <w:numId w:val="12"/>
      </w:numPr>
    </w:pPr>
  </w:style>
  <w:style w:type="numbering" w:styleId="ListstyleSOP" w:customStyle="1">
    <w:name w:val="List style SOP"/>
    <w:uiPriority w:val="99"/>
    <w:rsid w:val="005C3C8F"/>
    <w:pPr>
      <w:numPr>
        <w:numId w:val="13"/>
      </w:numPr>
    </w:pPr>
  </w:style>
  <w:style w:type="character" w:styleId="CommentTextChar" w:customStyle="1">
    <w:name w:val="Comment Text Char"/>
    <w:basedOn w:val="DefaultParagraphFont"/>
    <w:link w:val="CommentText"/>
    <w:semiHidden/>
    <w:rsid w:val="0087397A"/>
    <w:rPr>
      <w:lang w:val="en-CA"/>
    </w:rPr>
  </w:style>
  <w:style w:type="character" w:styleId="Heading2Char" w:customStyle="1">
    <w:name w:val="Heading 2 Char"/>
    <w:basedOn w:val="DefaultParagraphFont"/>
    <w:link w:val="Heading2"/>
    <w:uiPriority w:val="9"/>
    <w:rsid w:val="00021684"/>
    <w:rPr>
      <w:rFonts w:asciiTheme="majorHAnsi" w:hAnsiTheme="majorHAnsi" w:eastAsiaTheme="majorEastAsia" w:cstheme="majorBidi"/>
      <w:b/>
      <w:color w:val="C0504D" w:themeColor="accent2"/>
      <w:sz w:val="26"/>
      <w:szCs w:val="26"/>
      <w:u w:val="single"/>
    </w:rPr>
  </w:style>
  <w:style w:type="character" w:styleId="Hyperlink">
    <w:name w:val="Hyperlink"/>
    <w:basedOn w:val="DefaultParagraphFont"/>
    <w:uiPriority w:val="99"/>
    <w:unhideWhenUsed/>
    <w:rsid w:val="000216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1.png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jSWUWzgt-WU" TargetMode="External" Id="rId10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hyperlink" Target="https://acc-d.org/available-products/progestin-contraceptives/covid-19-updates" TargetMode="External" Id="R0e92875686df4183" /><Relationship Type="http://schemas.openxmlformats.org/officeDocument/2006/relationships/hyperlink" Target="https://www.maddiesfund.org/megestrol-acetate-faq.htm?p=245c18ee-b6a3-4881-fa12-1dfaa9bafd6a" TargetMode="External" Id="R7b3749e01f0c4a42" /><Relationship Type="http://schemas.openxmlformats.org/officeDocument/2006/relationships/glossaryDocument" Target="/word/glossary/document.xml" Id="R82c1a3c2737e4c8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b41c1-67aa-4042-8b77-3fdfa527760d}"/>
      </w:docPartPr>
      <w:docPartBody>
        <w:p w14:paraId="462066D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42DFE5-6371-44B1-9209-9A11E80D0C3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2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Toronto Humane Society</dc:title>
  <dc:creator>Phil nichols</dc:creator>
  <lastModifiedBy>Linda Jacobson</lastModifiedBy>
  <revision>19</revision>
  <lastPrinted>2011-10-13T22:27:00.0000000Z</lastPrinted>
  <dcterms:created xsi:type="dcterms:W3CDTF">2020-04-21T17:10:00.0000000Z</dcterms:created>
  <dcterms:modified xsi:type="dcterms:W3CDTF">2021-03-18T16:42:37.6597366Z</dcterms:modified>
</coreProperties>
</file>